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21003C" w14:textId="386151FE" w:rsidR="004E331F" w:rsidRPr="00A53005" w:rsidRDefault="00AE6222" w:rsidP="00A53005">
      <w:pPr>
        <w:jc w:val="center"/>
        <w:rPr>
          <w:rFonts w:ascii="Times New Roman" w:hAnsi="Times New Roman" w:cs="Times New Roman"/>
          <w:b/>
          <w:bCs/>
          <w:sz w:val="24"/>
          <w:szCs w:val="24"/>
        </w:rPr>
      </w:pPr>
      <w:r>
        <w:rPr>
          <w:rFonts w:ascii="Times New Roman" w:hAnsi="Times New Roman" w:cs="Times New Roman"/>
          <w:b/>
          <w:bCs/>
          <w:sz w:val="24"/>
          <w:szCs w:val="24"/>
        </w:rPr>
        <w:t xml:space="preserve">God’s </w:t>
      </w:r>
      <w:r w:rsidR="00A53005" w:rsidRPr="00A53005">
        <w:rPr>
          <w:rFonts w:ascii="Times New Roman" w:hAnsi="Times New Roman" w:cs="Times New Roman"/>
          <w:b/>
          <w:bCs/>
          <w:sz w:val="24"/>
          <w:szCs w:val="24"/>
        </w:rPr>
        <w:t>Flaming Glory – Post 9 – God’s Glory in the Cross, According to Albert Mohler</w:t>
      </w:r>
    </w:p>
    <w:p w14:paraId="7A6A845F" w14:textId="77777777" w:rsidR="00A53005" w:rsidRDefault="00A53005" w:rsidP="00026317">
      <w:pPr>
        <w:spacing w:line="480" w:lineRule="auto"/>
        <w:rPr>
          <w:rFonts w:ascii="Times New Roman" w:hAnsi="Times New Roman" w:cs="Times New Roman"/>
          <w:sz w:val="24"/>
          <w:szCs w:val="24"/>
        </w:rPr>
      </w:pPr>
    </w:p>
    <w:p w14:paraId="2532B698" w14:textId="28A3A7BE" w:rsidR="007367A6" w:rsidRPr="007367A6" w:rsidRDefault="007367A6" w:rsidP="007367A6">
      <w:pPr>
        <w:spacing w:line="480" w:lineRule="auto"/>
        <w:ind w:left="1440"/>
        <w:rPr>
          <w:rFonts w:ascii="Times New Roman" w:hAnsi="Times New Roman" w:cs="Times New Roman"/>
          <w:b/>
          <w:bCs/>
          <w:i/>
          <w:iCs/>
          <w:sz w:val="24"/>
          <w:szCs w:val="24"/>
        </w:rPr>
      </w:pPr>
      <w:r w:rsidRPr="007367A6">
        <w:rPr>
          <w:rFonts w:ascii="Times New Roman" w:hAnsi="Times New Roman" w:cs="Times New Roman"/>
          <w:b/>
          <w:bCs/>
          <w:i/>
          <w:iCs/>
          <w:sz w:val="24"/>
          <w:szCs w:val="24"/>
        </w:rPr>
        <w:t>Introduction</w:t>
      </w:r>
    </w:p>
    <w:p w14:paraId="1AC84931" w14:textId="3AD2296A" w:rsidR="00026317" w:rsidRDefault="00026317" w:rsidP="00026317">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In the last two posts, we saw Albert Mohler’s view of God’s glory in creation. God’s glory in creation comes from everything being rightly ordered. His power and character are displayed throughout creation, and that is what gives God glory. In this post, </w:t>
      </w:r>
      <w:r w:rsidR="007367A6">
        <w:rPr>
          <w:rFonts w:ascii="Times New Roman" w:hAnsi="Times New Roman" w:cs="Times New Roman"/>
          <w:sz w:val="24"/>
          <w:szCs w:val="24"/>
        </w:rPr>
        <w:t xml:space="preserve">I </w:t>
      </w:r>
      <w:r w:rsidR="00AE6222">
        <w:rPr>
          <w:rFonts w:ascii="Times New Roman" w:hAnsi="Times New Roman" w:cs="Times New Roman"/>
          <w:sz w:val="24"/>
          <w:szCs w:val="24"/>
        </w:rPr>
        <w:t xml:space="preserve">will </w:t>
      </w:r>
      <w:r w:rsidR="007367A6">
        <w:rPr>
          <w:rFonts w:ascii="Times New Roman" w:hAnsi="Times New Roman" w:cs="Times New Roman"/>
          <w:sz w:val="24"/>
          <w:szCs w:val="24"/>
        </w:rPr>
        <w:t>show</w:t>
      </w:r>
      <w:r w:rsidR="00AE6222">
        <w:rPr>
          <w:rFonts w:ascii="Times New Roman" w:hAnsi="Times New Roman" w:cs="Times New Roman"/>
          <w:sz w:val="24"/>
          <w:szCs w:val="24"/>
        </w:rPr>
        <w:t xml:space="preserve"> how Mohler sees the glory of God in the cross and, more broadly, the whole of redemption. </w:t>
      </w:r>
    </w:p>
    <w:p w14:paraId="6ED83C72" w14:textId="34EB6CBB" w:rsidR="007367A6" w:rsidRPr="007367A6" w:rsidRDefault="007367A6" w:rsidP="007367A6">
      <w:pPr>
        <w:spacing w:line="480" w:lineRule="auto"/>
        <w:ind w:left="1440"/>
        <w:rPr>
          <w:rFonts w:ascii="Times New Roman" w:hAnsi="Times New Roman" w:cs="Times New Roman"/>
          <w:b/>
          <w:bCs/>
          <w:i/>
          <w:iCs/>
          <w:sz w:val="24"/>
          <w:szCs w:val="24"/>
        </w:rPr>
      </w:pPr>
      <w:r w:rsidRPr="007367A6">
        <w:rPr>
          <w:rFonts w:ascii="Times New Roman" w:hAnsi="Times New Roman" w:cs="Times New Roman"/>
          <w:b/>
          <w:bCs/>
          <w:i/>
          <w:iCs/>
          <w:sz w:val="24"/>
          <w:szCs w:val="24"/>
        </w:rPr>
        <w:t>The Drama of Redemption</w:t>
      </w:r>
    </w:p>
    <w:p w14:paraId="1E79B45D" w14:textId="5ECB5A56" w:rsidR="00A53005" w:rsidRDefault="00026317" w:rsidP="00A53005">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Albert Mohler describes God’s redemption plan worked out in time as the ultimate demonstration of His glory. Redemption is like a drama: the drama of redemption played out on the stage of creation. </w:t>
      </w:r>
      <w:r w:rsidR="00A53005">
        <w:rPr>
          <w:rFonts w:ascii="Times New Roman" w:eastAsia="Times New Roman" w:hAnsi="Times New Roman" w:cs="Times New Roman"/>
          <w:sz w:val="24"/>
          <w:szCs w:val="24"/>
        </w:rPr>
        <w:t xml:space="preserve">The “established decree before the foundation of the universe” is the ultimate act of God. As </w:t>
      </w:r>
      <w:r w:rsidR="007367A6">
        <w:rPr>
          <w:rFonts w:ascii="Times New Roman" w:eastAsia="Times New Roman" w:hAnsi="Times New Roman" w:cs="Times New Roman"/>
          <w:sz w:val="24"/>
          <w:szCs w:val="24"/>
        </w:rPr>
        <w:t>Mohler</w:t>
      </w:r>
      <w:r w:rsidR="00A53005">
        <w:rPr>
          <w:rFonts w:ascii="Times New Roman" w:eastAsia="Times New Roman" w:hAnsi="Times New Roman" w:cs="Times New Roman"/>
          <w:sz w:val="24"/>
          <w:szCs w:val="24"/>
        </w:rPr>
        <w:t xml:space="preserve"> explain</w:t>
      </w:r>
      <w:r>
        <w:rPr>
          <w:rFonts w:ascii="Times New Roman" w:eastAsia="Times New Roman" w:hAnsi="Times New Roman" w:cs="Times New Roman"/>
          <w:sz w:val="24"/>
          <w:szCs w:val="24"/>
        </w:rPr>
        <w:t>s</w:t>
      </w:r>
      <w:r w:rsidR="00A53005">
        <w:rPr>
          <w:rFonts w:ascii="Times New Roman" w:eastAsia="Times New Roman" w:hAnsi="Times New Roman" w:cs="Times New Roman"/>
          <w:sz w:val="24"/>
          <w:szCs w:val="24"/>
        </w:rPr>
        <w:t xml:space="preserve">: </w:t>
      </w:r>
    </w:p>
    <w:p w14:paraId="3E09035D" w14:textId="77777777" w:rsidR="00A53005" w:rsidRDefault="00A53005" w:rsidP="00A53005">
      <w:pPr>
        <w:spacing w:line="48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God’s glory is a redeeming glory. …God’s purpose before the creation of the world was to redeem a people by the Son to His own glory. That His Name would be made great among conscious creature who would </w:t>
      </w:r>
      <w:r>
        <w:rPr>
          <w:rFonts w:ascii="Times New Roman" w:eastAsia="Times New Roman" w:hAnsi="Times New Roman" w:cs="Times New Roman"/>
          <w:i/>
          <w:sz w:val="24"/>
          <w:szCs w:val="24"/>
        </w:rPr>
        <w:t>observe</w:t>
      </w:r>
      <w:r>
        <w:rPr>
          <w:rFonts w:ascii="Times New Roman" w:eastAsia="Times New Roman" w:hAnsi="Times New Roman" w:cs="Times New Roman"/>
          <w:sz w:val="24"/>
          <w:szCs w:val="24"/>
        </w:rPr>
        <w:t xml:space="preserve"> both in life temporal and throughout eternity, </w:t>
      </w:r>
      <w:r>
        <w:rPr>
          <w:rFonts w:ascii="Times New Roman" w:eastAsia="Times New Roman" w:hAnsi="Times New Roman" w:cs="Times New Roman"/>
          <w:i/>
          <w:sz w:val="24"/>
          <w:szCs w:val="24"/>
        </w:rPr>
        <w:t>His glory demonstrated in His saving purpose</w:t>
      </w:r>
      <w:r>
        <w:rPr>
          <w:rFonts w:ascii="Times New Roman" w:eastAsia="Times New Roman" w:hAnsi="Times New Roman" w:cs="Times New Roman"/>
          <w:sz w:val="24"/>
          <w:szCs w:val="24"/>
        </w:rPr>
        <w:t>.</w:t>
      </w:r>
      <w:r>
        <w:rPr>
          <w:rFonts w:ascii="Times New Roman" w:eastAsia="Times New Roman" w:hAnsi="Times New Roman" w:cs="Times New Roman"/>
          <w:sz w:val="24"/>
          <w:szCs w:val="24"/>
          <w:vertAlign w:val="superscript"/>
        </w:rPr>
        <w:footnoteReference w:id="1"/>
      </w:r>
      <w:r>
        <w:rPr>
          <w:rFonts w:ascii="Times New Roman" w:eastAsia="Times New Roman" w:hAnsi="Times New Roman" w:cs="Times New Roman"/>
          <w:sz w:val="24"/>
          <w:szCs w:val="24"/>
        </w:rPr>
        <w:t xml:space="preserve"> </w:t>
      </w:r>
    </w:p>
    <w:p w14:paraId="7AD2EDBC" w14:textId="77777777" w:rsidR="00A53005" w:rsidRDefault="00A53005" w:rsidP="00A53005">
      <w:pPr>
        <w:spacing w:line="48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…all of [creation] is here in order that </w:t>
      </w:r>
      <w:r w:rsidRPr="006523E9">
        <w:rPr>
          <w:rFonts w:ascii="Times New Roman" w:eastAsia="Times New Roman" w:hAnsi="Times New Roman" w:cs="Times New Roman"/>
          <w:i/>
          <w:iCs/>
          <w:sz w:val="24"/>
          <w:szCs w:val="24"/>
        </w:rPr>
        <w:t>the drama of redemption</w:t>
      </w:r>
      <w:r>
        <w:rPr>
          <w:rFonts w:ascii="Times New Roman" w:eastAsia="Times New Roman" w:hAnsi="Times New Roman" w:cs="Times New Roman"/>
          <w:sz w:val="24"/>
          <w:szCs w:val="24"/>
        </w:rPr>
        <w:t xml:space="preserve"> might have happened, and would take place that </w:t>
      </w:r>
      <w:r>
        <w:rPr>
          <w:rFonts w:ascii="Times New Roman" w:eastAsia="Times New Roman" w:hAnsi="Times New Roman" w:cs="Times New Roman"/>
          <w:i/>
          <w:sz w:val="24"/>
          <w:szCs w:val="24"/>
        </w:rPr>
        <w:t>we might see it that we might know it, and that we might reflect God’s glory</w:t>
      </w:r>
      <w:r>
        <w:rPr>
          <w:rFonts w:ascii="Times New Roman" w:eastAsia="Times New Roman" w:hAnsi="Times New Roman" w:cs="Times New Roman"/>
          <w:sz w:val="24"/>
          <w:szCs w:val="24"/>
        </w:rPr>
        <w:t>.</w:t>
      </w:r>
      <w:r>
        <w:rPr>
          <w:rFonts w:ascii="Times New Roman" w:eastAsia="Times New Roman" w:hAnsi="Times New Roman" w:cs="Times New Roman"/>
          <w:sz w:val="24"/>
          <w:szCs w:val="24"/>
          <w:vertAlign w:val="superscript"/>
        </w:rPr>
        <w:footnoteReference w:id="2"/>
      </w:r>
      <w:r>
        <w:rPr>
          <w:rFonts w:ascii="Times New Roman" w:eastAsia="Times New Roman" w:hAnsi="Times New Roman" w:cs="Times New Roman"/>
          <w:sz w:val="24"/>
          <w:szCs w:val="24"/>
        </w:rPr>
        <w:t xml:space="preserve"> </w:t>
      </w:r>
    </w:p>
    <w:p w14:paraId="08F7352B" w14:textId="27B68166" w:rsidR="00A53005" w:rsidRDefault="00A53005" w:rsidP="00A53005">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The cross, therefore, </w:t>
      </w:r>
      <w:r w:rsidR="00026317">
        <w:rPr>
          <w:rFonts w:ascii="Times New Roman" w:eastAsia="Times New Roman" w:hAnsi="Times New Roman" w:cs="Times New Roman"/>
          <w:sz w:val="24"/>
          <w:szCs w:val="24"/>
        </w:rPr>
        <w:t xml:space="preserve">was obviously </w:t>
      </w:r>
      <w:r>
        <w:rPr>
          <w:rFonts w:ascii="Times New Roman" w:eastAsia="Times New Roman" w:hAnsi="Times New Roman" w:cs="Times New Roman"/>
          <w:sz w:val="24"/>
          <w:szCs w:val="24"/>
        </w:rPr>
        <w:t>the place where God demonstrated His glory more powerfully and clearly than anywhere else. Mohler cited both Calvin and Edwards to back him in this</w:t>
      </w:r>
      <w:r w:rsidR="00026317">
        <w:rPr>
          <w:rFonts w:ascii="Times New Roman" w:eastAsia="Times New Roman" w:hAnsi="Times New Roman" w:cs="Times New Roman"/>
          <w:sz w:val="24"/>
          <w:szCs w:val="24"/>
        </w:rPr>
        <w:t xml:space="preserve">: </w:t>
      </w:r>
    </w:p>
    <w:p w14:paraId="0EBF6D71" w14:textId="73B1D8CE" w:rsidR="00A53005" w:rsidRDefault="00A53005" w:rsidP="00A53005">
      <w:pPr>
        <w:spacing w:line="48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Calvin went on to say this as </w:t>
      </w:r>
      <w:proofErr w:type="gramStart"/>
      <w:r>
        <w:rPr>
          <w:rFonts w:ascii="Times New Roman" w:eastAsia="Times New Roman" w:hAnsi="Times New Roman" w:cs="Times New Roman"/>
          <w:sz w:val="24"/>
          <w:szCs w:val="24"/>
        </w:rPr>
        <w:t>he</w:t>
      </w:r>
      <w:proofErr w:type="gramEnd"/>
      <w:r>
        <w:rPr>
          <w:rFonts w:ascii="Times New Roman" w:eastAsia="Times New Roman" w:hAnsi="Times New Roman" w:cs="Times New Roman"/>
          <w:sz w:val="24"/>
          <w:szCs w:val="24"/>
        </w:rPr>
        <w:t xml:space="preserve"> spoke of Genesis, ‘After the world had been created, man was placed in it as in a theater that by beholding the works of God he might reverently adore their Author.’ Edwards spoke of God’s own glory as the end for which He created the world . . . And we have seen that it is a personal glory, a jealous glory, a sovereign glory, a redemptive glory… a creational glory in that that creational glory is not just to tell a story, it is to be the theater of God’s glory and, as in any theater there is story being there displayed</w:t>
      </w:r>
      <w:r w:rsidR="006523E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and what is that story? It is the redemptive story of the Son saving a people to the glory of the Father by His shed blood, by His atoning work, by His substitutionary atonement on Calvary’s cross.</w:t>
      </w:r>
      <w:r>
        <w:rPr>
          <w:rFonts w:ascii="Times New Roman" w:eastAsia="Times New Roman" w:hAnsi="Times New Roman" w:cs="Times New Roman"/>
          <w:sz w:val="24"/>
          <w:szCs w:val="24"/>
          <w:vertAlign w:val="superscript"/>
        </w:rPr>
        <w:footnoteReference w:id="3"/>
      </w:r>
      <w:r>
        <w:rPr>
          <w:rFonts w:ascii="Times New Roman" w:eastAsia="Times New Roman" w:hAnsi="Times New Roman" w:cs="Times New Roman"/>
          <w:sz w:val="24"/>
          <w:szCs w:val="24"/>
        </w:rPr>
        <w:t xml:space="preserve"> </w:t>
      </w:r>
    </w:p>
    <w:p w14:paraId="60D65214" w14:textId="3B60479A" w:rsidR="00A53005" w:rsidRDefault="00A53005" w:rsidP="00A53005">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Mohler</w:t>
      </w:r>
      <w:r w:rsidR="0002631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describes all of this in theatrical terms. For him, that is what the cross is: the penultimate act of God – the climax of the play. </w:t>
      </w:r>
      <w:r w:rsidR="00026317">
        <w:rPr>
          <w:rFonts w:ascii="Times New Roman" w:eastAsia="Times New Roman" w:hAnsi="Times New Roman" w:cs="Times New Roman"/>
          <w:sz w:val="24"/>
          <w:szCs w:val="24"/>
        </w:rPr>
        <w:t>The cross</w:t>
      </w:r>
      <w:r>
        <w:rPr>
          <w:rFonts w:ascii="Times New Roman" w:eastAsia="Times New Roman" w:hAnsi="Times New Roman" w:cs="Times New Roman"/>
          <w:sz w:val="24"/>
          <w:szCs w:val="24"/>
        </w:rPr>
        <w:t xml:space="preserve"> is primarily a </w:t>
      </w:r>
      <w:r w:rsidRPr="00026317">
        <w:rPr>
          <w:rFonts w:ascii="Times New Roman" w:eastAsia="Times New Roman" w:hAnsi="Times New Roman" w:cs="Times New Roman"/>
          <w:i/>
          <w:iCs/>
          <w:sz w:val="24"/>
          <w:szCs w:val="24"/>
        </w:rPr>
        <w:t>demonstration</w:t>
      </w:r>
      <w:r>
        <w:rPr>
          <w:rFonts w:ascii="Times New Roman" w:eastAsia="Times New Roman" w:hAnsi="Times New Roman" w:cs="Times New Roman"/>
          <w:sz w:val="24"/>
          <w:szCs w:val="24"/>
        </w:rPr>
        <w:t xml:space="preserve"> of who God is: </w:t>
      </w:r>
    </w:p>
    <w:p w14:paraId="1917B4CA" w14:textId="77777777" w:rsidR="00A53005" w:rsidRDefault="00A53005" w:rsidP="00A53005">
      <w:pPr>
        <w:spacing w:line="48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Father is revealed in the cross of the Lord Jesus Christ … Propitiation it’s </w:t>
      </w:r>
      <w:r>
        <w:rPr>
          <w:rFonts w:ascii="Times New Roman" w:eastAsia="Times New Roman" w:hAnsi="Times New Roman" w:cs="Times New Roman"/>
          <w:i/>
          <w:sz w:val="24"/>
          <w:szCs w:val="24"/>
        </w:rPr>
        <w:t>a demonstration</w:t>
      </w:r>
      <w:r>
        <w:rPr>
          <w:rFonts w:ascii="Times New Roman" w:eastAsia="Times New Roman" w:hAnsi="Times New Roman" w:cs="Times New Roman"/>
          <w:sz w:val="24"/>
          <w:szCs w:val="24"/>
        </w:rPr>
        <w:t xml:space="preserve"> … God put Christ forward as </w:t>
      </w:r>
      <w:r>
        <w:rPr>
          <w:rFonts w:ascii="Times New Roman" w:eastAsia="Times New Roman" w:hAnsi="Times New Roman" w:cs="Times New Roman"/>
          <w:i/>
          <w:sz w:val="24"/>
          <w:szCs w:val="24"/>
        </w:rPr>
        <w:t>a demonstration</w:t>
      </w:r>
      <w:r>
        <w:rPr>
          <w:rFonts w:ascii="Times New Roman" w:eastAsia="Times New Roman" w:hAnsi="Times New Roman" w:cs="Times New Roman"/>
          <w:sz w:val="24"/>
          <w:szCs w:val="24"/>
        </w:rPr>
        <w:t xml:space="preserve"> of His righteousness in that He demanded a sacrifice for sin. … God the Father is revealed to be both just in demanding the sacrifice, and the justifier.”</w:t>
      </w:r>
      <w:r>
        <w:rPr>
          <w:rFonts w:ascii="Times New Roman" w:eastAsia="Times New Roman" w:hAnsi="Times New Roman" w:cs="Times New Roman"/>
          <w:sz w:val="24"/>
          <w:szCs w:val="24"/>
          <w:vertAlign w:val="superscript"/>
        </w:rPr>
        <w:footnoteReference w:id="4"/>
      </w:r>
      <w:r>
        <w:rPr>
          <w:rFonts w:ascii="Times New Roman" w:eastAsia="Times New Roman" w:hAnsi="Times New Roman" w:cs="Times New Roman"/>
          <w:sz w:val="24"/>
          <w:szCs w:val="24"/>
        </w:rPr>
        <w:t xml:space="preserve"> </w:t>
      </w:r>
    </w:p>
    <w:p w14:paraId="3D7F75F6" w14:textId="77777777" w:rsidR="00A53005" w:rsidRDefault="00A53005" w:rsidP="00A53005">
      <w:pPr>
        <w:spacing w:line="48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“…what [took place on the cross was] </w:t>
      </w:r>
      <w:r>
        <w:rPr>
          <w:rFonts w:ascii="Times New Roman" w:eastAsia="Times New Roman" w:hAnsi="Times New Roman" w:cs="Times New Roman"/>
          <w:i/>
          <w:sz w:val="24"/>
          <w:szCs w:val="24"/>
        </w:rPr>
        <w:t>the demonstration</w:t>
      </w:r>
      <w:r>
        <w:rPr>
          <w:rFonts w:ascii="Times New Roman" w:eastAsia="Times New Roman" w:hAnsi="Times New Roman" w:cs="Times New Roman"/>
          <w:sz w:val="24"/>
          <w:szCs w:val="24"/>
        </w:rPr>
        <w:t xml:space="preserve"> of the righteousness of God… it is about </w:t>
      </w:r>
      <w:r>
        <w:rPr>
          <w:rFonts w:ascii="Times New Roman" w:eastAsia="Times New Roman" w:hAnsi="Times New Roman" w:cs="Times New Roman"/>
          <w:i/>
          <w:sz w:val="24"/>
          <w:szCs w:val="24"/>
        </w:rPr>
        <w:t>demonstrating</w:t>
      </w:r>
      <w:r>
        <w:rPr>
          <w:rFonts w:ascii="Times New Roman" w:eastAsia="Times New Roman" w:hAnsi="Times New Roman" w:cs="Times New Roman"/>
          <w:sz w:val="24"/>
          <w:szCs w:val="24"/>
        </w:rPr>
        <w:t xml:space="preserve"> the righteousness of the Father.”</w:t>
      </w:r>
      <w:r>
        <w:rPr>
          <w:rFonts w:ascii="Times New Roman" w:eastAsia="Times New Roman" w:hAnsi="Times New Roman" w:cs="Times New Roman"/>
          <w:sz w:val="24"/>
          <w:szCs w:val="24"/>
          <w:vertAlign w:val="superscript"/>
        </w:rPr>
        <w:footnoteReference w:id="5"/>
      </w:r>
      <w:r>
        <w:rPr>
          <w:rFonts w:ascii="Times New Roman" w:eastAsia="Times New Roman" w:hAnsi="Times New Roman" w:cs="Times New Roman"/>
          <w:sz w:val="24"/>
          <w:szCs w:val="24"/>
        </w:rPr>
        <w:t xml:space="preserve"> </w:t>
      </w:r>
    </w:p>
    <w:p w14:paraId="5DDD2A45" w14:textId="59649C6A" w:rsidR="00A53005" w:rsidRDefault="00A53005" w:rsidP="00E7302A">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Mohler’s presentation of the cross</w:t>
      </w:r>
      <w:r w:rsidR="006523E9">
        <w:rPr>
          <w:rFonts w:ascii="Times New Roman" w:eastAsia="Times New Roman" w:hAnsi="Times New Roman" w:cs="Times New Roman"/>
          <w:sz w:val="24"/>
          <w:szCs w:val="24"/>
        </w:rPr>
        <w:t xml:space="preserve"> and the whole of redemption</w:t>
      </w:r>
      <w:r>
        <w:rPr>
          <w:rFonts w:ascii="Times New Roman" w:eastAsia="Times New Roman" w:hAnsi="Times New Roman" w:cs="Times New Roman"/>
          <w:sz w:val="24"/>
          <w:szCs w:val="24"/>
        </w:rPr>
        <w:t xml:space="preserve">, for all the self-sacrificial love of God, </w:t>
      </w:r>
      <w:r w:rsidR="006523E9">
        <w:rPr>
          <w:rFonts w:ascii="Times New Roman" w:eastAsia="Times New Roman" w:hAnsi="Times New Roman" w:cs="Times New Roman"/>
          <w:sz w:val="24"/>
          <w:szCs w:val="24"/>
        </w:rPr>
        <w:t xml:space="preserve">for all his orthodoxy, </w:t>
      </w:r>
      <w:r>
        <w:rPr>
          <w:rFonts w:ascii="Times New Roman" w:eastAsia="Times New Roman" w:hAnsi="Times New Roman" w:cs="Times New Roman"/>
          <w:sz w:val="24"/>
          <w:szCs w:val="24"/>
        </w:rPr>
        <w:t xml:space="preserve">all returns to his central and binding doctrine: God wanted to demonstrate who He was in the cross. </w:t>
      </w:r>
      <w:r w:rsidR="006523E9">
        <w:rPr>
          <w:rFonts w:ascii="Times New Roman" w:eastAsia="Times New Roman" w:hAnsi="Times New Roman" w:cs="Times New Roman"/>
          <w:sz w:val="24"/>
          <w:szCs w:val="24"/>
        </w:rPr>
        <w:t xml:space="preserve">This is a theatrical glory. </w:t>
      </w:r>
      <w:r>
        <w:rPr>
          <w:rFonts w:ascii="Times New Roman" w:eastAsia="Times New Roman" w:hAnsi="Times New Roman" w:cs="Times New Roman"/>
          <w:sz w:val="24"/>
          <w:szCs w:val="24"/>
        </w:rPr>
        <w:t xml:space="preserve">The cross is a means to an end, and that end is His glory in displaying who He is. And for Christians themselves, they only </w:t>
      </w:r>
      <w:r>
        <w:rPr>
          <w:rFonts w:ascii="Times New Roman" w:eastAsia="Times New Roman" w:hAnsi="Times New Roman" w:cs="Times New Roman"/>
          <w:i/>
          <w:sz w:val="24"/>
          <w:szCs w:val="24"/>
        </w:rPr>
        <w:t>see</w:t>
      </w:r>
      <w:r>
        <w:rPr>
          <w:rFonts w:ascii="Times New Roman" w:eastAsia="Times New Roman" w:hAnsi="Times New Roman" w:cs="Times New Roman"/>
          <w:sz w:val="24"/>
          <w:szCs w:val="24"/>
        </w:rPr>
        <w:t xml:space="preserve"> the glory. They only have </w:t>
      </w:r>
      <w:r>
        <w:rPr>
          <w:rFonts w:ascii="Times New Roman" w:eastAsia="Times New Roman" w:hAnsi="Times New Roman" w:cs="Times New Roman"/>
          <w:i/>
          <w:sz w:val="24"/>
          <w:szCs w:val="24"/>
        </w:rPr>
        <w:t>a glimpse</w:t>
      </w:r>
      <w:r>
        <w:rPr>
          <w:rFonts w:ascii="Times New Roman" w:eastAsia="Times New Roman" w:hAnsi="Times New Roman" w:cs="Times New Roman"/>
          <w:sz w:val="24"/>
          <w:szCs w:val="24"/>
        </w:rPr>
        <w:t xml:space="preserve"> (because of the incomprehensibility of the triune God as Creator</w:t>
      </w:r>
      <w:r>
        <w:rPr>
          <w:rFonts w:ascii="Times New Roman" w:eastAsia="Times New Roman" w:hAnsi="Times New Roman" w:cs="Times New Roman"/>
          <w:sz w:val="24"/>
          <w:szCs w:val="24"/>
          <w:vertAlign w:val="superscript"/>
        </w:rPr>
        <w:footnoteReference w:id="6"/>
      </w:r>
      <w:r>
        <w:rPr>
          <w:rFonts w:ascii="Times New Roman" w:eastAsia="Times New Roman" w:hAnsi="Times New Roman" w:cs="Times New Roman"/>
          <w:sz w:val="24"/>
          <w:szCs w:val="24"/>
        </w:rPr>
        <w:t xml:space="preserve">). </w:t>
      </w:r>
      <w:r w:rsidR="00E7302A">
        <w:rPr>
          <w:rFonts w:ascii="Times New Roman" w:eastAsia="Times New Roman" w:hAnsi="Times New Roman" w:cs="Times New Roman"/>
          <w:sz w:val="24"/>
          <w:szCs w:val="24"/>
        </w:rPr>
        <w:t>“</w:t>
      </w:r>
      <w:proofErr w:type="gramStart"/>
      <w:r w:rsidR="00E7302A">
        <w:rPr>
          <w:rFonts w:ascii="Times New Roman" w:eastAsia="Times New Roman" w:hAnsi="Times New Roman" w:cs="Times New Roman"/>
          <w:sz w:val="24"/>
          <w:szCs w:val="24"/>
        </w:rPr>
        <w:t>So</w:t>
      </w:r>
      <w:proofErr w:type="gramEnd"/>
      <w:r w:rsidR="00E7302A">
        <w:rPr>
          <w:rFonts w:ascii="Times New Roman" w:eastAsia="Times New Roman" w:hAnsi="Times New Roman" w:cs="Times New Roman"/>
          <w:sz w:val="24"/>
          <w:szCs w:val="24"/>
        </w:rPr>
        <w:t xml:space="preserve"> w</w:t>
      </w:r>
      <w:r w:rsidR="00E7302A" w:rsidRPr="00E7302A">
        <w:rPr>
          <w:rFonts w:ascii="Times New Roman" w:eastAsia="Times New Roman" w:hAnsi="Times New Roman" w:cs="Times New Roman"/>
          <w:sz w:val="24"/>
          <w:szCs w:val="24"/>
        </w:rPr>
        <w:t>e can think of an</w:t>
      </w:r>
      <w:r w:rsidR="00E7302A">
        <w:rPr>
          <w:rFonts w:ascii="Times New Roman" w:eastAsia="Times New Roman" w:hAnsi="Times New Roman" w:cs="Times New Roman"/>
          <w:sz w:val="24"/>
          <w:szCs w:val="24"/>
        </w:rPr>
        <w:t xml:space="preserve"> </w:t>
      </w:r>
      <w:r w:rsidR="00E7302A" w:rsidRPr="00E7302A">
        <w:rPr>
          <w:rFonts w:ascii="Times New Roman" w:eastAsia="Times New Roman" w:hAnsi="Times New Roman" w:cs="Times New Roman"/>
          <w:sz w:val="24"/>
          <w:szCs w:val="24"/>
        </w:rPr>
        <w:t xml:space="preserve">internal reality of the glory of God that that belongs to God alone and </w:t>
      </w:r>
      <w:r w:rsidR="00E7302A" w:rsidRPr="00E7302A">
        <w:rPr>
          <w:rFonts w:ascii="Times New Roman" w:eastAsia="Times New Roman" w:hAnsi="Times New Roman" w:cs="Times New Roman"/>
          <w:i/>
          <w:iCs/>
          <w:sz w:val="24"/>
          <w:szCs w:val="24"/>
        </w:rPr>
        <w:t>He Himself alone knows</w:t>
      </w:r>
      <w:r w:rsidR="00E7302A">
        <w:rPr>
          <w:rFonts w:ascii="Times New Roman" w:eastAsia="Times New Roman" w:hAnsi="Times New Roman" w:cs="Times New Roman"/>
          <w:sz w:val="24"/>
          <w:szCs w:val="24"/>
        </w:rPr>
        <w:t xml:space="preserve">, </w:t>
      </w:r>
      <w:r w:rsidR="00E7302A" w:rsidRPr="00E7302A">
        <w:rPr>
          <w:rFonts w:ascii="Times New Roman" w:eastAsia="Times New Roman" w:hAnsi="Times New Roman" w:cs="Times New Roman"/>
          <w:sz w:val="24"/>
          <w:szCs w:val="24"/>
        </w:rPr>
        <w:t>and this external</w:t>
      </w:r>
      <w:r w:rsidR="00E7302A">
        <w:rPr>
          <w:rFonts w:ascii="Times New Roman" w:eastAsia="Times New Roman" w:hAnsi="Times New Roman" w:cs="Times New Roman"/>
          <w:sz w:val="24"/>
          <w:szCs w:val="24"/>
        </w:rPr>
        <w:t xml:space="preserve"> </w:t>
      </w:r>
      <w:r w:rsidR="00E7302A" w:rsidRPr="00E7302A">
        <w:rPr>
          <w:rFonts w:ascii="Times New Roman" w:eastAsia="Times New Roman" w:hAnsi="Times New Roman" w:cs="Times New Roman"/>
          <w:sz w:val="24"/>
          <w:szCs w:val="24"/>
        </w:rPr>
        <w:t xml:space="preserve">manifestation which is the glory of God </w:t>
      </w:r>
      <w:r w:rsidR="00E7302A" w:rsidRPr="00E7302A">
        <w:rPr>
          <w:rFonts w:ascii="Times New Roman" w:eastAsia="Times New Roman" w:hAnsi="Times New Roman" w:cs="Times New Roman"/>
          <w:i/>
          <w:iCs/>
          <w:sz w:val="24"/>
          <w:szCs w:val="24"/>
        </w:rPr>
        <w:t>manifested</w:t>
      </w:r>
      <w:r w:rsidR="00E7302A" w:rsidRPr="00E7302A">
        <w:rPr>
          <w:rFonts w:ascii="Times New Roman" w:eastAsia="Times New Roman" w:hAnsi="Times New Roman" w:cs="Times New Roman"/>
          <w:sz w:val="24"/>
          <w:szCs w:val="24"/>
        </w:rPr>
        <w:t xml:space="preserve"> in creation and </w:t>
      </w:r>
      <w:r w:rsidR="00E7302A" w:rsidRPr="00E7302A">
        <w:rPr>
          <w:rFonts w:ascii="Times New Roman" w:eastAsia="Times New Roman" w:hAnsi="Times New Roman" w:cs="Times New Roman"/>
          <w:i/>
          <w:iCs/>
          <w:sz w:val="24"/>
          <w:szCs w:val="24"/>
        </w:rPr>
        <w:t>recognized</w:t>
      </w:r>
      <w:r w:rsidR="00E7302A" w:rsidRPr="00E7302A">
        <w:rPr>
          <w:rFonts w:ascii="Times New Roman" w:eastAsia="Times New Roman" w:hAnsi="Times New Roman" w:cs="Times New Roman"/>
          <w:sz w:val="24"/>
          <w:szCs w:val="24"/>
        </w:rPr>
        <w:t xml:space="preserve"> by</w:t>
      </w:r>
      <w:r w:rsidR="00E7302A">
        <w:rPr>
          <w:rFonts w:ascii="Times New Roman" w:eastAsia="Times New Roman" w:hAnsi="Times New Roman" w:cs="Times New Roman"/>
          <w:sz w:val="24"/>
          <w:szCs w:val="24"/>
        </w:rPr>
        <w:t xml:space="preserve"> H</w:t>
      </w:r>
      <w:r w:rsidR="00E7302A" w:rsidRPr="00E7302A">
        <w:rPr>
          <w:rFonts w:ascii="Times New Roman" w:eastAsia="Times New Roman" w:hAnsi="Times New Roman" w:cs="Times New Roman"/>
          <w:sz w:val="24"/>
          <w:szCs w:val="24"/>
        </w:rPr>
        <w:t>is creatures</w:t>
      </w:r>
      <w:r w:rsidR="00E7302A">
        <w:rPr>
          <w:rFonts w:ascii="Times New Roman" w:eastAsia="Times New Roman" w:hAnsi="Times New Roman" w:cs="Times New Roman"/>
          <w:sz w:val="24"/>
          <w:szCs w:val="24"/>
        </w:rPr>
        <w:t>,</w:t>
      </w:r>
      <w:r w:rsidR="00E7302A" w:rsidRPr="00E7302A">
        <w:rPr>
          <w:rFonts w:ascii="Times New Roman" w:eastAsia="Times New Roman" w:hAnsi="Times New Roman" w:cs="Times New Roman"/>
          <w:sz w:val="24"/>
          <w:szCs w:val="24"/>
        </w:rPr>
        <w:t xml:space="preserve"> both earthly and heavenly</w:t>
      </w:r>
      <w:r w:rsidR="00E7302A">
        <w:rPr>
          <w:rFonts w:ascii="Times New Roman" w:eastAsia="Times New Roman" w:hAnsi="Times New Roman" w:cs="Times New Roman"/>
          <w:sz w:val="24"/>
          <w:szCs w:val="24"/>
        </w:rPr>
        <w:t>.”</w:t>
      </w:r>
      <w:r w:rsidR="00E7302A">
        <w:rPr>
          <w:rStyle w:val="FootnoteReference"/>
          <w:rFonts w:ascii="Times New Roman" w:eastAsia="Times New Roman" w:hAnsi="Times New Roman" w:cs="Times New Roman"/>
          <w:sz w:val="24"/>
          <w:szCs w:val="24"/>
        </w:rPr>
        <w:footnoteReference w:id="7"/>
      </w:r>
      <w:r w:rsidR="00E7302A">
        <w:rPr>
          <w:rFonts w:ascii="Times New Roman" w:eastAsia="Times New Roman" w:hAnsi="Times New Roman" w:cs="Times New Roman"/>
          <w:sz w:val="24"/>
          <w:szCs w:val="24"/>
        </w:rPr>
        <w:t xml:space="preserve"> </w:t>
      </w:r>
    </w:p>
    <w:p w14:paraId="314A0046" w14:textId="6E0B4C40" w:rsidR="00026317" w:rsidRDefault="00026317" w:rsidP="00026317">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How different is this from Calvin’s communicative glory perspective! As we saw in Post 5, Calvin saw that</w:t>
      </w:r>
      <w:r w:rsidR="00E7302A">
        <w:rPr>
          <w:rFonts w:ascii="Times New Roman" w:eastAsia="Times New Roman" w:hAnsi="Times New Roman" w:cs="Times New Roman"/>
          <w:sz w:val="24"/>
          <w:szCs w:val="24"/>
        </w:rPr>
        <w:t>, I</w:t>
      </w:r>
      <w:r w:rsidRPr="00026317">
        <w:rPr>
          <w:rFonts w:ascii="Times New Roman" w:eastAsia="Times New Roman" w:hAnsi="Times New Roman" w:cs="Times New Roman"/>
          <w:sz w:val="24"/>
          <w:szCs w:val="24"/>
        </w:rPr>
        <w:t xml:space="preserve">n the cross, propitiation for sin was made that Christ might have His church, and bring </w:t>
      </w:r>
      <w:r w:rsidR="00F2795A">
        <w:rPr>
          <w:rFonts w:ascii="Times New Roman" w:eastAsia="Times New Roman" w:hAnsi="Times New Roman" w:cs="Times New Roman"/>
          <w:sz w:val="24"/>
          <w:szCs w:val="24"/>
        </w:rPr>
        <w:t>His church</w:t>
      </w:r>
      <w:r w:rsidRPr="00026317">
        <w:rPr>
          <w:rFonts w:ascii="Times New Roman" w:eastAsia="Times New Roman" w:hAnsi="Times New Roman" w:cs="Times New Roman"/>
          <w:sz w:val="24"/>
          <w:szCs w:val="24"/>
        </w:rPr>
        <w:t xml:space="preserve"> to His Father. In His triumph, “the cross, the symbol of ignominy, had been converted into a triumphal chariot.”</w:t>
      </w:r>
      <w:r w:rsidRPr="00026317">
        <w:rPr>
          <w:rFonts w:ascii="Times New Roman" w:eastAsia="Times New Roman" w:hAnsi="Times New Roman" w:cs="Times New Roman"/>
          <w:sz w:val="24"/>
          <w:szCs w:val="24"/>
          <w:vertAlign w:val="superscript"/>
        </w:rPr>
        <w:footnoteReference w:id="8"/>
      </w:r>
      <w:r w:rsidRPr="00026317">
        <w:rPr>
          <w:rFonts w:ascii="Times New Roman" w:eastAsia="Times New Roman" w:hAnsi="Times New Roman" w:cs="Times New Roman"/>
          <w:sz w:val="24"/>
          <w:szCs w:val="24"/>
        </w:rPr>
        <w:t xml:space="preserve"> Not only was His triumph one in which “every knee may bow to Him, (Philippians 2:10)… [by] a magnificent display of His greatness and power….”</w:t>
      </w:r>
      <w:r w:rsidRPr="00026317">
        <w:rPr>
          <w:rFonts w:ascii="Times New Roman" w:eastAsia="Times New Roman" w:hAnsi="Times New Roman" w:cs="Times New Roman"/>
          <w:sz w:val="24"/>
          <w:szCs w:val="24"/>
          <w:vertAlign w:val="superscript"/>
        </w:rPr>
        <w:footnoteReference w:id="9"/>
      </w:r>
      <w:r w:rsidRPr="00026317">
        <w:rPr>
          <w:rFonts w:ascii="Times New Roman" w:eastAsia="Times New Roman" w:hAnsi="Times New Roman" w:cs="Times New Roman"/>
          <w:sz w:val="24"/>
          <w:szCs w:val="24"/>
        </w:rPr>
        <w:t xml:space="preserve"> But in Christ’s triumph, “from the beginning even to the end, His having assumed the form of a servant, humbled Himself, and become obedient to death, even the death of the cross… followed </w:t>
      </w:r>
      <w:r w:rsidRPr="00026317">
        <w:rPr>
          <w:rFonts w:ascii="Times New Roman" w:eastAsia="Times New Roman" w:hAnsi="Times New Roman" w:cs="Times New Roman"/>
          <w:sz w:val="24"/>
          <w:szCs w:val="24"/>
        </w:rPr>
        <w:lastRenderedPageBreak/>
        <w:t>by His ascension”</w:t>
      </w:r>
      <w:r w:rsidRPr="00026317">
        <w:rPr>
          <w:rFonts w:ascii="Times New Roman" w:eastAsia="Times New Roman" w:hAnsi="Times New Roman" w:cs="Times New Roman"/>
          <w:sz w:val="24"/>
          <w:szCs w:val="24"/>
          <w:vertAlign w:val="superscript"/>
        </w:rPr>
        <w:footnoteReference w:id="10"/>
      </w:r>
      <w:r w:rsidRPr="00026317">
        <w:rPr>
          <w:rFonts w:ascii="Times New Roman" w:eastAsia="Times New Roman" w:hAnsi="Times New Roman" w:cs="Times New Roman"/>
          <w:sz w:val="24"/>
          <w:szCs w:val="24"/>
        </w:rPr>
        <w:t xml:space="preserve"> “the cross will be, as it were, a chariot, by which He shall raise all men, along with Himself, </w:t>
      </w:r>
      <w:r w:rsidRPr="00026317">
        <w:rPr>
          <w:rFonts w:ascii="Times New Roman" w:eastAsia="Times New Roman" w:hAnsi="Times New Roman" w:cs="Times New Roman"/>
          <w:i/>
          <w:sz w:val="24"/>
          <w:szCs w:val="24"/>
        </w:rPr>
        <w:t>to His Father</w:t>
      </w:r>
      <w:r w:rsidRPr="00026317">
        <w:rPr>
          <w:rFonts w:ascii="Times New Roman" w:eastAsia="Times New Roman" w:hAnsi="Times New Roman" w:cs="Times New Roman"/>
          <w:sz w:val="24"/>
          <w:szCs w:val="24"/>
        </w:rPr>
        <w:t>.”</w:t>
      </w:r>
      <w:r w:rsidRPr="00026317">
        <w:rPr>
          <w:rFonts w:ascii="Times New Roman" w:eastAsia="Times New Roman" w:hAnsi="Times New Roman" w:cs="Times New Roman"/>
          <w:sz w:val="24"/>
          <w:szCs w:val="24"/>
          <w:vertAlign w:val="superscript"/>
        </w:rPr>
        <w:footnoteReference w:id="11"/>
      </w:r>
      <w:r w:rsidRPr="00026317">
        <w:rPr>
          <w:rFonts w:ascii="Times New Roman" w:eastAsia="Times New Roman" w:hAnsi="Times New Roman" w:cs="Times New Roman"/>
          <w:sz w:val="24"/>
          <w:szCs w:val="24"/>
        </w:rPr>
        <w:t xml:space="preserve"> </w:t>
      </w:r>
    </w:p>
    <w:p w14:paraId="7D9F86E7" w14:textId="5D4473D6" w:rsidR="00F2795A" w:rsidRPr="00026317" w:rsidRDefault="00F2795A" w:rsidP="00026317">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And this, as Calvin Himself said (see Post 6), means that Jesus shared His “glory, power, and righteousness, with the elect” and gave “Himself to be enjoyed by them.”</w:t>
      </w:r>
      <w:r>
        <w:rPr>
          <w:rFonts w:ascii="Times New Roman" w:eastAsia="Times New Roman" w:hAnsi="Times New Roman" w:cs="Times New Roman"/>
          <w:sz w:val="24"/>
          <w:szCs w:val="24"/>
          <w:vertAlign w:val="superscript"/>
        </w:rPr>
        <w:footnoteReference w:id="12"/>
      </w:r>
      <w:r>
        <w:rPr>
          <w:rFonts w:ascii="Times New Roman" w:eastAsia="Times New Roman" w:hAnsi="Times New Roman" w:cs="Times New Roman"/>
          <w:sz w:val="24"/>
          <w:szCs w:val="24"/>
        </w:rPr>
        <w:t xml:space="preserve"> Humanity is not meant to be disconnected spectators of His glory. The entire Christian life, and on into eternity, is to be marked by communion with God, and the enjoyment of His fullness. </w:t>
      </w:r>
    </w:p>
    <w:p w14:paraId="786E886E" w14:textId="7EF9523F" w:rsidR="00026317" w:rsidRDefault="00026317" w:rsidP="00A53005">
      <w:pPr>
        <w:spacing w:line="480" w:lineRule="auto"/>
        <w:ind w:firstLine="720"/>
        <w:rPr>
          <w:rFonts w:ascii="Times New Roman" w:eastAsia="Times New Roman" w:hAnsi="Times New Roman" w:cs="Times New Roman"/>
          <w:sz w:val="24"/>
          <w:szCs w:val="24"/>
        </w:rPr>
      </w:pPr>
    </w:p>
    <w:p w14:paraId="3A4482A9" w14:textId="77777777" w:rsidR="00A53005" w:rsidRDefault="00A53005"/>
    <w:sectPr w:rsidR="00A5300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8FAE61" w14:textId="77777777" w:rsidR="00EB6CAD" w:rsidRDefault="00EB6CAD" w:rsidP="00A53005">
      <w:pPr>
        <w:spacing w:after="0" w:line="240" w:lineRule="auto"/>
      </w:pPr>
      <w:r>
        <w:separator/>
      </w:r>
    </w:p>
  </w:endnote>
  <w:endnote w:type="continuationSeparator" w:id="0">
    <w:p w14:paraId="773F3752" w14:textId="77777777" w:rsidR="00EB6CAD" w:rsidRDefault="00EB6CAD" w:rsidP="00A530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1A5B9F" w14:textId="77777777" w:rsidR="00EB6CAD" w:rsidRDefault="00EB6CAD" w:rsidP="00A53005">
      <w:pPr>
        <w:spacing w:after="0" w:line="240" w:lineRule="auto"/>
      </w:pPr>
      <w:r>
        <w:separator/>
      </w:r>
    </w:p>
  </w:footnote>
  <w:footnote w:type="continuationSeparator" w:id="0">
    <w:p w14:paraId="16A7D9C1" w14:textId="77777777" w:rsidR="00EB6CAD" w:rsidRDefault="00EB6CAD" w:rsidP="00A53005">
      <w:pPr>
        <w:spacing w:after="0" w:line="240" w:lineRule="auto"/>
      </w:pPr>
      <w:r>
        <w:continuationSeparator/>
      </w:r>
    </w:p>
  </w:footnote>
  <w:footnote w:id="1">
    <w:p w14:paraId="08AB72FC" w14:textId="77777777" w:rsidR="00A53005" w:rsidRDefault="00A53005" w:rsidP="00A53005">
      <w:pPr>
        <w:spacing w:after="0" w:line="240" w:lineRule="auto"/>
        <w:rPr>
          <w:rFonts w:ascii="Calibri" w:eastAsia="Calibri" w:hAnsi="Calibri" w:cs="Calibri"/>
          <w:color w:val="000000"/>
          <w:sz w:val="20"/>
          <w:szCs w:val="20"/>
        </w:rPr>
      </w:pPr>
      <w:r>
        <w:rPr>
          <w:rStyle w:val="FootnoteReference"/>
        </w:rPr>
        <w:footnoteRef/>
      </w:r>
      <w:r>
        <w:rPr>
          <w:rFonts w:ascii="Times New Roman" w:eastAsia="Times New Roman" w:hAnsi="Times New Roman" w:cs="Times New Roman"/>
          <w:color w:val="000000"/>
          <w:sz w:val="20"/>
          <w:szCs w:val="20"/>
        </w:rPr>
        <w:t xml:space="preserve"> Albert Mohler. (2015, April 8). </w:t>
      </w:r>
      <w:r>
        <w:rPr>
          <w:rFonts w:ascii="Times New Roman" w:eastAsia="Times New Roman" w:hAnsi="Times New Roman" w:cs="Times New Roman"/>
          <w:i/>
          <w:color w:val="000000"/>
          <w:sz w:val="20"/>
          <w:szCs w:val="20"/>
        </w:rPr>
        <w:t>Albert Mohler: In the Beginning: The Glory of God from Eternity</w:t>
      </w:r>
      <w:r>
        <w:rPr>
          <w:rFonts w:ascii="Times New Roman" w:eastAsia="Times New Roman" w:hAnsi="Times New Roman" w:cs="Times New Roman"/>
          <w:color w:val="000000"/>
          <w:sz w:val="20"/>
          <w:szCs w:val="20"/>
        </w:rPr>
        <w:t>. Albertmohler.com. https://www.youtube.com/watch?v=f6Fy2vX2sRY, 36:51-37:22.</w:t>
      </w:r>
      <w:r>
        <w:rPr>
          <w:color w:val="000000"/>
          <w:sz w:val="20"/>
          <w:szCs w:val="20"/>
        </w:rPr>
        <w:t xml:space="preserve"> Emphasis mine. </w:t>
      </w:r>
    </w:p>
  </w:footnote>
  <w:footnote w:id="2">
    <w:p w14:paraId="3466DFD3" w14:textId="77777777" w:rsidR="00A53005" w:rsidRDefault="00A53005" w:rsidP="00A53005">
      <w:pPr>
        <w:spacing w:after="0" w:line="240" w:lineRule="auto"/>
        <w:rPr>
          <w:rFonts w:ascii="Times New Roman" w:eastAsia="Times New Roman" w:hAnsi="Times New Roman" w:cs="Times New Roman"/>
          <w:color w:val="000000"/>
          <w:sz w:val="20"/>
          <w:szCs w:val="20"/>
        </w:rPr>
      </w:pPr>
      <w:r>
        <w:rPr>
          <w:rStyle w:val="FootnoteReference"/>
        </w:rPr>
        <w:footnoteRef/>
      </w:r>
      <w:r>
        <w:rPr>
          <w:rFonts w:ascii="Times New Roman" w:eastAsia="Times New Roman" w:hAnsi="Times New Roman" w:cs="Times New Roman"/>
          <w:color w:val="000000"/>
          <w:sz w:val="20"/>
          <w:szCs w:val="20"/>
        </w:rPr>
        <w:t xml:space="preserve"> Albert Mohler. (2015, April 8). </w:t>
      </w:r>
      <w:r>
        <w:rPr>
          <w:rFonts w:ascii="Times New Roman" w:eastAsia="Times New Roman" w:hAnsi="Times New Roman" w:cs="Times New Roman"/>
          <w:i/>
          <w:color w:val="000000"/>
          <w:sz w:val="20"/>
          <w:szCs w:val="20"/>
        </w:rPr>
        <w:t>Albert Mohler: In the Beginning: The Glory of God from Eternity</w:t>
      </w:r>
      <w:r>
        <w:rPr>
          <w:rFonts w:ascii="Times New Roman" w:eastAsia="Times New Roman" w:hAnsi="Times New Roman" w:cs="Times New Roman"/>
          <w:color w:val="000000"/>
          <w:sz w:val="20"/>
          <w:szCs w:val="20"/>
        </w:rPr>
        <w:t xml:space="preserve">. Albertmohler.com. https://www.youtube.com/watch?v=f6Fy2vX2sRY, 46:50-47:46. Emphasis mine. </w:t>
      </w:r>
    </w:p>
  </w:footnote>
  <w:footnote w:id="3">
    <w:p w14:paraId="69A576EB" w14:textId="77777777" w:rsidR="00A53005" w:rsidRDefault="00A53005" w:rsidP="00A53005">
      <w:pPr>
        <w:spacing w:after="0" w:line="240" w:lineRule="auto"/>
        <w:rPr>
          <w:rFonts w:ascii="Times New Roman" w:eastAsia="Times New Roman" w:hAnsi="Times New Roman" w:cs="Times New Roman"/>
          <w:color w:val="000000"/>
          <w:sz w:val="20"/>
          <w:szCs w:val="20"/>
        </w:rPr>
      </w:pPr>
      <w:r>
        <w:rPr>
          <w:rStyle w:val="FootnoteReference"/>
        </w:rPr>
        <w:footnoteRef/>
      </w:r>
      <w:r>
        <w:rPr>
          <w:rFonts w:ascii="Times New Roman" w:eastAsia="Times New Roman" w:hAnsi="Times New Roman" w:cs="Times New Roman"/>
          <w:color w:val="000000"/>
          <w:sz w:val="20"/>
          <w:szCs w:val="20"/>
        </w:rPr>
        <w:t xml:space="preserve"> Albert Mohler. (2015, April 8). </w:t>
      </w:r>
      <w:r>
        <w:rPr>
          <w:rFonts w:ascii="Times New Roman" w:eastAsia="Times New Roman" w:hAnsi="Times New Roman" w:cs="Times New Roman"/>
          <w:i/>
          <w:color w:val="000000"/>
          <w:sz w:val="20"/>
          <w:szCs w:val="20"/>
        </w:rPr>
        <w:t>Albert Mohler: In the Beginning: The Glory of God from Eternity</w:t>
      </w:r>
      <w:r>
        <w:rPr>
          <w:rFonts w:ascii="Times New Roman" w:eastAsia="Times New Roman" w:hAnsi="Times New Roman" w:cs="Times New Roman"/>
          <w:color w:val="000000"/>
          <w:sz w:val="20"/>
          <w:szCs w:val="20"/>
        </w:rPr>
        <w:t xml:space="preserve">. Albertmohler.com. https://www.youtube.com/watch?v=f6Fy2vX2sRY, 45:33-46:36. </w:t>
      </w:r>
    </w:p>
  </w:footnote>
  <w:footnote w:id="4">
    <w:p w14:paraId="0BD00A56" w14:textId="77777777" w:rsidR="00A53005" w:rsidRDefault="00A53005" w:rsidP="00A53005">
      <w:pPr>
        <w:spacing w:after="0" w:line="240" w:lineRule="auto"/>
        <w:rPr>
          <w:rFonts w:ascii="Times New Roman" w:eastAsia="Times New Roman" w:hAnsi="Times New Roman" w:cs="Times New Roman"/>
          <w:color w:val="000000"/>
          <w:sz w:val="20"/>
          <w:szCs w:val="20"/>
        </w:rPr>
      </w:pPr>
      <w:r>
        <w:rPr>
          <w:rStyle w:val="FootnoteReference"/>
        </w:rPr>
        <w:footnoteRef/>
      </w:r>
      <w:r>
        <w:rPr>
          <w:rFonts w:ascii="Times New Roman" w:eastAsia="Times New Roman" w:hAnsi="Times New Roman" w:cs="Times New Roman"/>
          <w:color w:val="000000"/>
          <w:sz w:val="20"/>
          <w:szCs w:val="20"/>
        </w:rPr>
        <w:t xml:space="preserve"> Albert Mohler. (2020, May 14). </w:t>
      </w:r>
      <w:r>
        <w:rPr>
          <w:rFonts w:ascii="Times New Roman" w:eastAsia="Times New Roman" w:hAnsi="Times New Roman" w:cs="Times New Roman"/>
          <w:i/>
          <w:color w:val="000000"/>
          <w:sz w:val="20"/>
          <w:szCs w:val="20"/>
        </w:rPr>
        <w:t>Albert Mohler—The Glorious Gospel of the Blessed God—T4G20</w:t>
      </w:r>
      <w:r>
        <w:rPr>
          <w:rFonts w:ascii="Times New Roman" w:eastAsia="Times New Roman" w:hAnsi="Times New Roman" w:cs="Times New Roman"/>
          <w:color w:val="000000"/>
          <w:sz w:val="20"/>
          <w:szCs w:val="20"/>
        </w:rPr>
        <w:t xml:space="preserve">. Together for the Gospel (T4G). https://www.youtube.com/watch?v=9l5uZQoNOCg, 58:16-1:00:13. Emphasis mine. </w:t>
      </w:r>
    </w:p>
  </w:footnote>
  <w:footnote w:id="5">
    <w:p w14:paraId="47294D79" w14:textId="77777777" w:rsidR="00A53005" w:rsidRDefault="00A53005" w:rsidP="00A53005">
      <w:pPr>
        <w:spacing w:after="0" w:line="240" w:lineRule="auto"/>
        <w:rPr>
          <w:rFonts w:ascii="Times New Roman" w:eastAsia="Times New Roman" w:hAnsi="Times New Roman" w:cs="Times New Roman"/>
          <w:color w:val="000000"/>
          <w:sz w:val="20"/>
          <w:szCs w:val="20"/>
        </w:rPr>
      </w:pPr>
      <w:r>
        <w:rPr>
          <w:rStyle w:val="FootnoteReference"/>
        </w:rPr>
        <w:footnoteRef/>
      </w:r>
      <w:r>
        <w:rPr>
          <w:rFonts w:ascii="Times New Roman" w:eastAsia="Times New Roman" w:hAnsi="Times New Roman" w:cs="Times New Roman"/>
          <w:color w:val="000000"/>
          <w:sz w:val="20"/>
          <w:szCs w:val="20"/>
        </w:rPr>
        <w:t xml:space="preserve"> Albert Mohler. (2021, March 7). </w:t>
      </w:r>
      <w:r>
        <w:rPr>
          <w:rFonts w:ascii="Times New Roman" w:eastAsia="Times New Roman" w:hAnsi="Times New Roman" w:cs="Times New Roman"/>
          <w:i/>
          <w:color w:val="000000"/>
          <w:sz w:val="20"/>
          <w:szCs w:val="20"/>
        </w:rPr>
        <w:t>47. John 17:1-5</w:t>
      </w:r>
      <w:r>
        <w:rPr>
          <w:rFonts w:ascii="Times New Roman" w:eastAsia="Times New Roman" w:hAnsi="Times New Roman" w:cs="Times New Roman"/>
          <w:color w:val="000000"/>
          <w:sz w:val="20"/>
          <w:szCs w:val="20"/>
        </w:rPr>
        <w:t xml:space="preserve">. Albertmohler.com. https://albertmohler.com/sermon-series/john, 41:58-42:15. Emphasis mine. </w:t>
      </w:r>
    </w:p>
  </w:footnote>
  <w:footnote w:id="6">
    <w:p w14:paraId="168DF8B2" w14:textId="77777777" w:rsidR="00A53005" w:rsidRDefault="00A53005" w:rsidP="00A53005">
      <w:pPr>
        <w:spacing w:after="0" w:line="240" w:lineRule="auto"/>
        <w:rPr>
          <w:rFonts w:ascii="Calibri" w:eastAsia="Calibri" w:hAnsi="Calibri" w:cs="Calibri"/>
          <w:color w:val="000000"/>
          <w:sz w:val="20"/>
          <w:szCs w:val="20"/>
        </w:rPr>
      </w:pPr>
      <w:r>
        <w:rPr>
          <w:rStyle w:val="FootnoteReference"/>
        </w:rPr>
        <w:footnoteRef/>
      </w:r>
      <w:r>
        <w:rPr>
          <w:rFonts w:ascii="Times New Roman" w:eastAsia="Times New Roman" w:hAnsi="Times New Roman" w:cs="Times New Roman"/>
          <w:color w:val="000000"/>
          <w:sz w:val="20"/>
          <w:szCs w:val="20"/>
        </w:rPr>
        <w:t xml:space="preserve"> “…our vocabulary runs out, theological fatigue sets in as we understand the difficulty of trying to come to terms with creation much less the Creator…” [Albert Mohler. (2015, April 8). </w:t>
      </w:r>
      <w:r>
        <w:rPr>
          <w:rFonts w:ascii="Times New Roman" w:eastAsia="Times New Roman" w:hAnsi="Times New Roman" w:cs="Times New Roman"/>
          <w:i/>
          <w:color w:val="000000"/>
          <w:sz w:val="20"/>
          <w:szCs w:val="20"/>
        </w:rPr>
        <w:t>Albert Mohler: In the Beginning: The Glory of God from Eternity</w:t>
      </w:r>
      <w:r>
        <w:rPr>
          <w:rFonts w:ascii="Times New Roman" w:eastAsia="Times New Roman" w:hAnsi="Times New Roman" w:cs="Times New Roman"/>
          <w:color w:val="000000"/>
          <w:sz w:val="20"/>
          <w:szCs w:val="20"/>
        </w:rPr>
        <w:t>. Albertmohler.com. https://www.youtube.com/watch?v=f6Fy2vX2sRY, 41:24-43:08].</w:t>
      </w:r>
      <w:r>
        <w:rPr>
          <w:color w:val="000000"/>
          <w:sz w:val="20"/>
          <w:szCs w:val="20"/>
        </w:rPr>
        <w:t xml:space="preserve"> </w:t>
      </w:r>
    </w:p>
  </w:footnote>
  <w:footnote w:id="7">
    <w:p w14:paraId="011BC08A" w14:textId="1FD65365" w:rsidR="00E7302A" w:rsidRDefault="00E7302A">
      <w:pPr>
        <w:pStyle w:val="FootnoteText"/>
      </w:pPr>
      <w:r>
        <w:rPr>
          <w:rStyle w:val="FootnoteReference"/>
        </w:rPr>
        <w:footnoteRef/>
      </w:r>
      <w:r>
        <w:t xml:space="preserve"> </w:t>
      </w:r>
      <w:r>
        <w:rPr>
          <w:rFonts w:ascii="Times New Roman" w:eastAsia="Times New Roman" w:hAnsi="Times New Roman" w:cs="Times New Roman"/>
          <w:color w:val="000000"/>
        </w:rPr>
        <w:t xml:space="preserve">Albert Mohler. (2020, May 14). </w:t>
      </w:r>
      <w:r>
        <w:rPr>
          <w:rFonts w:ascii="Times New Roman" w:eastAsia="Times New Roman" w:hAnsi="Times New Roman" w:cs="Times New Roman"/>
          <w:i/>
          <w:color w:val="000000"/>
        </w:rPr>
        <w:t>Albert Mohler—The Glorious Gospel of the Blessed God—T4G20</w:t>
      </w:r>
      <w:r>
        <w:rPr>
          <w:rFonts w:ascii="Times New Roman" w:eastAsia="Times New Roman" w:hAnsi="Times New Roman" w:cs="Times New Roman"/>
          <w:color w:val="000000"/>
        </w:rPr>
        <w:t xml:space="preserve">. Together for the Gospel (T4G). https://www.youtube.com/watch?v=9l5uZQoNOCg, 17:46-18:06. </w:t>
      </w:r>
    </w:p>
  </w:footnote>
  <w:footnote w:id="8">
    <w:p w14:paraId="3DD52C67" w14:textId="77777777" w:rsidR="00026317" w:rsidRDefault="00026317" w:rsidP="00026317">
      <w:p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Style w:val="FootnoteReference"/>
        </w:rPr>
        <w:footnoteRef/>
      </w:r>
      <w:r>
        <w:rPr>
          <w:rFonts w:ascii="Times New Roman" w:eastAsia="Times New Roman" w:hAnsi="Times New Roman" w:cs="Times New Roman"/>
          <w:color w:val="000000"/>
          <w:sz w:val="20"/>
          <w:szCs w:val="20"/>
        </w:rPr>
        <w:t xml:space="preserve"> John Calvin (1845). </w:t>
      </w:r>
      <w:r>
        <w:rPr>
          <w:rFonts w:ascii="Times New Roman" w:eastAsia="Times New Roman" w:hAnsi="Times New Roman" w:cs="Times New Roman"/>
          <w:i/>
          <w:color w:val="000000"/>
          <w:sz w:val="20"/>
          <w:szCs w:val="20"/>
        </w:rPr>
        <w:t>The Institutes of the Christian Religion</w:t>
      </w:r>
      <w:r>
        <w:rPr>
          <w:rFonts w:ascii="Times New Roman" w:eastAsia="Times New Roman" w:hAnsi="Times New Roman" w:cs="Times New Roman"/>
          <w:color w:val="000000"/>
          <w:sz w:val="20"/>
          <w:szCs w:val="20"/>
        </w:rPr>
        <w:t xml:space="preserve">. Christian Classics Ethereal Library. Grand Rapids, MI. p. 316. </w:t>
      </w:r>
    </w:p>
  </w:footnote>
  <w:footnote w:id="9">
    <w:p w14:paraId="36154C73" w14:textId="77777777" w:rsidR="00026317" w:rsidRDefault="00026317" w:rsidP="00026317">
      <w:p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Style w:val="FootnoteReference"/>
        </w:rPr>
        <w:footnoteRef/>
      </w:r>
      <w:r>
        <w:rPr>
          <w:rFonts w:ascii="Times New Roman" w:eastAsia="Times New Roman" w:hAnsi="Times New Roman" w:cs="Times New Roman"/>
          <w:color w:val="000000"/>
          <w:sz w:val="20"/>
          <w:szCs w:val="20"/>
        </w:rPr>
        <w:t xml:space="preserve"> John Calvin (n.d.). </w:t>
      </w:r>
      <w:r>
        <w:rPr>
          <w:rFonts w:ascii="Times New Roman" w:eastAsia="Times New Roman" w:hAnsi="Times New Roman" w:cs="Times New Roman"/>
          <w:i/>
          <w:color w:val="000000"/>
          <w:sz w:val="20"/>
          <w:szCs w:val="20"/>
        </w:rPr>
        <w:t>Commentary on John, Volume Two</w:t>
      </w:r>
      <w:r>
        <w:rPr>
          <w:rFonts w:ascii="Times New Roman" w:eastAsia="Times New Roman" w:hAnsi="Times New Roman" w:cs="Times New Roman"/>
          <w:color w:val="000000"/>
          <w:sz w:val="20"/>
          <w:szCs w:val="20"/>
        </w:rPr>
        <w:t xml:space="preserve">. Christian Classics Ethereal Library. Grand Rapids, MI. p. 100. </w:t>
      </w:r>
    </w:p>
  </w:footnote>
  <w:footnote w:id="10">
    <w:p w14:paraId="6A22BA3B" w14:textId="77777777" w:rsidR="00026317" w:rsidRDefault="00026317" w:rsidP="00026317">
      <w:p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Style w:val="FootnoteReference"/>
        </w:rPr>
        <w:footnoteRef/>
      </w:r>
      <w:r>
        <w:rPr>
          <w:rFonts w:ascii="Times New Roman" w:eastAsia="Times New Roman" w:hAnsi="Times New Roman" w:cs="Times New Roman"/>
          <w:color w:val="000000"/>
          <w:sz w:val="20"/>
          <w:szCs w:val="20"/>
        </w:rPr>
        <w:t xml:space="preserve"> John Calvin (1845). </w:t>
      </w:r>
      <w:r>
        <w:rPr>
          <w:rFonts w:ascii="Times New Roman" w:eastAsia="Times New Roman" w:hAnsi="Times New Roman" w:cs="Times New Roman"/>
          <w:i/>
          <w:color w:val="000000"/>
          <w:sz w:val="20"/>
          <w:szCs w:val="20"/>
        </w:rPr>
        <w:t>The Institutes of the Christian Religion</w:t>
      </w:r>
      <w:r>
        <w:rPr>
          <w:rFonts w:ascii="Times New Roman" w:eastAsia="Times New Roman" w:hAnsi="Times New Roman" w:cs="Times New Roman"/>
          <w:color w:val="000000"/>
          <w:sz w:val="20"/>
          <w:szCs w:val="20"/>
        </w:rPr>
        <w:t xml:space="preserve">. Christian Classics Ethereal Library. Grand Rapids, MI. p. 314, 322. </w:t>
      </w:r>
    </w:p>
  </w:footnote>
  <w:footnote w:id="11">
    <w:p w14:paraId="514F5D32" w14:textId="77777777" w:rsidR="00026317" w:rsidRDefault="00026317" w:rsidP="00026317">
      <w:p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Style w:val="FootnoteReference"/>
        </w:rPr>
        <w:footnoteRef/>
      </w:r>
      <w:r>
        <w:rPr>
          <w:rFonts w:ascii="Times New Roman" w:eastAsia="Times New Roman" w:hAnsi="Times New Roman" w:cs="Times New Roman"/>
          <w:color w:val="000000"/>
          <w:sz w:val="20"/>
          <w:szCs w:val="20"/>
        </w:rPr>
        <w:t xml:space="preserve"> John Calvin (n.d.). </w:t>
      </w:r>
      <w:r>
        <w:rPr>
          <w:rFonts w:ascii="Times New Roman" w:eastAsia="Times New Roman" w:hAnsi="Times New Roman" w:cs="Times New Roman"/>
          <w:i/>
          <w:color w:val="000000"/>
          <w:sz w:val="20"/>
          <w:szCs w:val="20"/>
        </w:rPr>
        <w:t>Commentary on John, Volume Two</w:t>
      </w:r>
      <w:r>
        <w:rPr>
          <w:rFonts w:ascii="Times New Roman" w:eastAsia="Times New Roman" w:hAnsi="Times New Roman" w:cs="Times New Roman"/>
          <w:color w:val="000000"/>
          <w:sz w:val="20"/>
          <w:szCs w:val="20"/>
        </w:rPr>
        <w:t xml:space="preserve">. Christian Classics Ethereal Library. Grand Rapids, MI. p. 18. Emphasis mine. </w:t>
      </w:r>
    </w:p>
  </w:footnote>
  <w:footnote w:id="12">
    <w:p w14:paraId="66465DE9" w14:textId="77777777" w:rsidR="00F2795A" w:rsidRDefault="00F2795A" w:rsidP="00F2795A">
      <w:pPr>
        <w:spacing w:after="0" w:line="240" w:lineRule="auto"/>
        <w:rPr>
          <w:rFonts w:ascii="Times New Roman" w:eastAsia="Times New Roman" w:hAnsi="Times New Roman" w:cs="Times New Roman"/>
          <w:color w:val="000000"/>
          <w:sz w:val="20"/>
          <w:szCs w:val="20"/>
        </w:rPr>
      </w:pPr>
      <w:r>
        <w:rPr>
          <w:rStyle w:val="FootnoteReference"/>
        </w:rPr>
        <w:footnoteRef/>
      </w:r>
      <w:r>
        <w:rPr>
          <w:rFonts w:ascii="Times New Roman" w:eastAsia="Times New Roman" w:hAnsi="Times New Roman" w:cs="Times New Roman"/>
          <w:color w:val="000000"/>
          <w:sz w:val="20"/>
          <w:szCs w:val="20"/>
        </w:rPr>
        <w:t xml:space="preserve"> John Calvin (1845). </w:t>
      </w:r>
      <w:r>
        <w:rPr>
          <w:rFonts w:ascii="Times New Roman" w:eastAsia="Times New Roman" w:hAnsi="Times New Roman" w:cs="Times New Roman"/>
          <w:i/>
          <w:color w:val="000000"/>
          <w:sz w:val="20"/>
          <w:szCs w:val="20"/>
        </w:rPr>
        <w:t>The Institutes of the Christian Religion</w:t>
      </w:r>
      <w:r>
        <w:rPr>
          <w:rFonts w:ascii="Times New Roman" w:eastAsia="Times New Roman" w:hAnsi="Times New Roman" w:cs="Times New Roman"/>
          <w:color w:val="000000"/>
          <w:sz w:val="20"/>
          <w:szCs w:val="20"/>
        </w:rPr>
        <w:t xml:space="preserve">. Christian Classics Ethereal Library. Grand Rapids, MI. p. 618.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3005"/>
    <w:rsid w:val="00026317"/>
    <w:rsid w:val="002625D9"/>
    <w:rsid w:val="00277ED5"/>
    <w:rsid w:val="004E331F"/>
    <w:rsid w:val="006523E9"/>
    <w:rsid w:val="007367A6"/>
    <w:rsid w:val="00A5052C"/>
    <w:rsid w:val="00A53005"/>
    <w:rsid w:val="00AE6222"/>
    <w:rsid w:val="00E7302A"/>
    <w:rsid w:val="00EB6CAD"/>
    <w:rsid w:val="00F279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652629"/>
  <w15:chartTrackingRefBased/>
  <w15:docId w15:val="{10577C9B-4F90-43E1-B240-CD94328525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basedOn w:val="DefaultParagraphFont"/>
    <w:uiPriority w:val="99"/>
    <w:semiHidden/>
    <w:unhideWhenUsed/>
    <w:rsid w:val="00A53005"/>
    <w:rPr>
      <w:vertAlign w:val="superscript"/>
    </w:rPr>
  </w:style>
  <w:style w:type="paragraph" w:styleId="FootnoteText">
    <w:name w:val="footnote text"/>
    <w:basedOn w:val="Normal"/>
    <w:link w:val="FootnoteTextChar"/>
    <w:uiPriority w:val="99"/>
    <w:semiHidden/>
    <w:unhideWhenUsed/>
    <w:rsid w:val="00E7302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7302A"/>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2659116">
      <w:bodyDiv w:val="1"/>
      <w:marLeft w:val="0"/>
      <w:marRight w:val="0"/>
      <w:marTop w:val="0"/>
      <w:marBottom w:val="0"/>
      <w:divBdr>
        <w:top w:val="none" w:sz="0" w:space="0" w:color="auto"/>
        <w:left w:val="none" w:sz="0" w:space="0" w:color="auto"/>
        <w:bottom w:val="none" w:sz="0" w:space="0" w:color="auto"/>
        <w:right w:val="none" w:sz="0" w:space="0" w:color="auto"/>
      </w:divBdr>
    </w:div>
    <w:div w:id="1328632359">
      <w:bodyDiv w:val="1"/>
      <w:marLeft w:val="0"/>
      <w:marRight w:val="0"/>
      <w:marTop w:val="0"/>
      <w:marBottom w:val="0"/>
      <w:divBdr>
        <w:top w:val="none" w:sz="0" w:space="0" w:color="auto"/>
        <w:left w:val="none" w:sz="0" w:space="0" w:color="auto"/>
        <w:bottom w:val="none" w:sz="0" w:space="0" w:color="auto"/>
        <w:right w:val="none" w:sz="0" w:space="0" w:color="auto"/>
      </w:divBdr>
      <w:divsChild>
        <w:div w:id="1586495725">
          <w:marLeft w:val="0"/>
          <w:marRight w:val="0"/>
          <w:marTop w:val="0"/>
          <w:marBottom w:val="0"/>
          <w:divBdr>
            <w:top w:val="none" w:sz="0" w:space="0" w:color="auto"/>
            <w:left w:val="none" w:sz="0" w:space="0" w:color="auto"/>
            <w:bottom w:val="none" w:sz="0" w:space="0" w:color="auto"/>
            <w:right w:val="none" w:sz="0" w:space="0" w:color="auto"/>
          </w:divBdr>
        </w:div>
        <w:div w:id="890918183">
          <w:marLeft w:val="0"/>
          <w:marRight w:val="0"/>
          <w:marTop w:val="0"/>
          <w:marBottom w:val="0"/>
          <w:divBdr>
            <w:top w:val="none" w:sz="0" w:space="0" w:color="auto"/>
            <w:left w:val="none" w:sz="0" w:space="0" w:color="auto"/>
            <w:bottom w:val="none" w:sz="0" w:space="0" w:color="auto"/>
            <w:right w:val="none" w:sz="0" w:space="0" w:color="auto"/>
          </w:divBdr>
          <w:divsChild>
            <w:div w:id="597181503">
              <w:marLeft w:val="180"/>
              <w:marRight w:val="240"/>
              <w:marTop w:val="0"/>
              <w:marBottom w:val="0"/>
              <w:divBdr>
                <w:top w:val="none" w:sz="0" w:space="0" w:color="auto"/>
                <w:left w:val="none" w:sz="0" w:space="0" w:color="auto"/>
                <w:bottom w:val="none" w:sz="0" w:space="0" w:color="auto"/>
                <w:right w:val="none" w:sz="0" w:space="0" w:color="auto"/>
              </w:divBdr>
              <w:divsChild>
                <w:div w:id="277219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4760694">
          <w:marLeft w:val="0"/>
          <w:marRight w:val="0"/>
          <w:marTop w:val="0"/>
          <w:marBottom w:val="0"/>
          <w:divBdr>
            <w:top w:val="none" w:sz="0" w:space="0" w:color="auto"/>
            <w:left w:val="none" w:sz="0" w:space="0" w:color="auto"/>
            <w:bottom w:val="none" w:sz="0" w:space="0" w:color="auto"/>
            <w:right w:val="none" w:sz="0" w:space="0" w:color="auto"/>
          </w:divBdr>
          <w:divsChild>
            <w:div w:id="107235883">
              <w:marLeft w:val="180"/>
              <w:marRight w:val="240"/>
              <w:marTop w:val="0"/>
              <w:marBottom w:val="0"/>
              <w:divBdr>
                <w:top w:val="none" w:sz="0" w:space="0" w:color="auto"/>
                <w:left w:val="none" w:sz="0" w:space="0" w:color="auto"/>
                <w:bottom w:val="none" w:sz="0" w:space="0" w:color="auto"/>
                <w:right w:val="none" w:sz="0" w:space="0" w:color="auto"/>
              </w:divBdr>
              <w:divsChild>
                <w:div w:id="130149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349245">
          <w:marLeft w:val="0"/>
          <w:marRight w:val="0"/>
          <w:marTop w:val="0"/>
          <w:marBottom w:val="0"/>
          <w:divBdr>
            <w:top w:val="none" w:sz="0" w:space="0" w:color="auto"/>
            <w:left w:val="none" w:sz="0" w:space="0" w:color="auto"/>
            <w:bottom w:val="none" w:sz="0" w:space="0" w:color="auto"/>
            <w:right w:val="none" w:sz="0" w:space="0" w:color="auto"/>
          </w:divBdr>
          <w:divsChild>
            <w:div w:id="436099097">
              <w:marLeft w:val="180"/>
              <w:marRight w:val="240"/>
              <w:marTop w:val="0"/>
              <w:marBottom w:val="0"/>
              <w:divBdr>
                <w:top w:val="none" w:sz="0" w:space="0" w:color="auto"/>
                <w:left w:val="none" w:sz="0" w:space="0" w:color="auto"/>
                <w:bottom w:val="none" w:sz="0" w:space="0" w:color="auto"/>
                <w:right w:val="none" w:sz="0" w:space="0" w:color="auto"/>
              </w:divBdr>
              <w:divsChild>
                <w:div w:id="87150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8043958">
      <w:bodyDiv w:val="1"/>
      <w:marLeft w:val="0"/>
      <w:marRight w:val="0"/>
      <w:marTop w:val="0"/>
      <w:marBottom w:val="0"/>
      <w:divBdr>
        <w:top w:val="none" w:sz="0" w:space="0" w:color="auto"/>
        <w:left w:val="none" w:sz="0" w:space="0" w:color="auto"/>
        <w:bottom w:val="none" w:sz="0" w:space="0" w:color="auto"/>
        <w:right w:val="none" w:sz="0" w:space="0" w:color="auto"/>
      </w:divBdr>
      <w:divsChild>
        <w:div w:id="103162024">
          <w:marLeft w:val="0"/>
          <w:marRight w:val="0"/>
          <w:marTop w:val="0"/>
          <w:marBottom w:val="0"/>
          <w:divBdr>
            <w:top w:val="none" w:sz="0" w:space="0" w:color="auto"/>
            <w:left w:val="none" w:sz="0" w:space="0" w:color="auto"/>
            <w:bottom w:val="none" w:sz="0" w:space="0" w:color="auto"/>
            <w:right w:val="none" w:sz="0" w:space="0" w:color="auto"/>
          </w:divBdr>
        </w:div>
        <w:div w:id="1858079720">
          <w:marLeft w:val="0"/>
          <w:marRight w:val="0"/>
          <w:marTop w:val="0"/>
          <w:marBottom w:val="0"/>
          <w:divBdr>
            <w:top w:val="none" w:sz="0" w:space="0" w:color="auto"/>
            <w:left w:val="none" w:sz="0" w:space="0" w:color="auto"/>
            <w:bottom w:val="none" w:sz="0" w:space="0" w:color="auto"/>
            <w:right w:val="none" w:sz="0" w:space="0" w:color="auto"/>
          </w:divBdr>
          <w:divsChild>
            <w:div w:id="506142231">
              <w:marLeft w:val="180"/>
              <w:marRight w:val="240"/>
              <w:marTop w:val="0"/>
              <w:marBottom w:val="0"/>
              <w:divBdr>
                <w:top w:val="none" w:sz="0" w:space="0" w:color="auto"/>
                <w:left w:val="none" w:sz="0" w:space="0" w:color="auto"/>
                <w:bottom w:val="none" w:sz="0" w:space="0" w:color="auto"/>
                <w:right w:val="none" w:sz="0" w:space="0" w:color="auto"/>
              </w:divBdr>
              <w:divsChild>
                <w:div w:id="1676297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128385">
          <w:marLeft w:val="0"/>
          <w:marRight w:val="0"/>
          <w:marTop w:val="0"/>
          <w:marBottom w:val="0"/>
          <w:divBdr>
            <w:top w:val="none" w:sz="0" w:space="0" w:color="auto"/>
            <w:left w:val="none" w:sz="0" w:space="0" w:color="auto"/>
            <w:bottom w:val="none" w:sz="0" w:space="0" w:color="auto"/>
            <w:right w:val="none" w:sz="0" w:space="0" w:color="auto"/>
          </w:divBdr>
          <w:divsChild>
            <w:div w:id="467671588">
              <w:marLeft w:val="180"/>
              <w:marRight w:val="240"/>
              <w:marTop w:val="0"/>
              <w:marBottom w:val="0"/>
              <w:divBdr>
                <w:top w:val="none" w:sz="0" w:space="0" w:color="auto"/>
                <w:left w:val="none" w:sz="0" w:space="0" w:color="auto"/>
                <w:bottom w:val="none" w:sz="0" w:space="0" w:color="auto"/>
                <w:right w:val="none" w:sz="0" w:space="0" w:color="auto"/>
              </w:divBdr>
              <w:divsChild>
                <w:div w:id="10903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081018">
          <w:marLeft w:val="0"/>
          <w:marRight w:val="0"/>
          <w:marTop w:val="0"/>
          <w:marBottom w:val="0"/>
          <w:divBdr>
            <w:top w:val="none" w:sz="0" w:space="0" w:color="auto"/>
            <w:left w:val="none" w:sz="0" w:space="0" w:color="auto"/>
            <w:bottom w:val="none" w:sz="0" w:space="0" w:color="auto"/>
            <w:right w:val="none" w:sz="0" w:space="0" w:color="auto"/>
          </w:divBdr>
          <w:divsChild>
            <w:div w:id="1809936320">
              <w:marLeft w:val="180"/>
              <w:marRight w:val="240"/>
              <w:marTop w:val="0"/>
              <w:marBottom w:val="0"/>
              <w:divBdr>
                <w:top w:val="none" w:sz="0" w:space="0" w:color="auto"/>
                <w:left w:val="none" w:sz="0" w:space="0" w:color="auto"/>
                <w:bottom w:val="none" w:sz="0" w:space="0" w:color="auto"/>
                <w:right w:val="none" w:sz="0" w:space="0" w:color="auto"/>
              </w:divBdr>
              <w:divsChild>
                <w:div w:id="1820878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4</Pages>
  <Words>712</Words>
  <Characters>4059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Noah Mozingo</dc:creator>
  <cp:keywords/>
  <dc:description/>
  <cp:lastModifiedBy>Noah Mozingo</cp:lastModifiedBy>
  <cp:revision>6</cp:revision>
  <dcterms:created xsi:type="dcterms:W3CDTF">2023-11-07T17:01:00Z</dcterms:created>
  <dcterms:modified xsi:type="dcterms:W3CDTF">2023-12-19T16:52:00Z</dcterms:modified>
</cp:coreProperties>
</file>